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078"/>
        <w:gridCol w:w="236"/>
        <w:gridCol w:w="1485"/>
        <w:gridCol w:w="1485"/>
        <w:gridCol w:w="1003"/>
        <w:gridCol w:w="2469"/>
        <w:gridCol w:w="990"/>
      </w:tblGrid>
      <w:tr w:rsidR="008D269B" w:rsidRPr="008D269B" w:rsidTr="008D269B">
        <w:trPr>
          <w:trHeight w:val="255"/>
        </w:trPr>
        <w:tc>
          <w:tcPr>
            <w:tcW w:w="1134"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Level</w:t>
            </w:r>
          </w:p>
        </w:tc>
        <w:tc>
          <w:tcPr>
            <w:tcW w:w="2078"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2970"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Kabupaten Ketapang</w:t>
            </w:r>
          </w:p>
        </w:tc>
        <w:tc>
          <w:tcPr>
            <w:tcW w:w="100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2469"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990"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3212"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Komponen</w:t>
            </w:r>
          </w:p>
        </w:tc>
        <w:tc>
          <w:tcPr>
            <w:tcW w:w="236"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2970"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 Kapasitas Pemerintah</w:t>
            </w:r>
          </w:p>
        </w:tc>
        <w:tc>
          <w:tcPr>
            <w:tcW w:w="100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2469"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990"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1134"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2078"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85"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85"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00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2469"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990"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60"/>
        </w:trPr>
        <w:tc>
          <w:tcPr>
            <w:tcW w:w="3448"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Isu dalam PGA REDD+</w:t>
            </w:r>
          </w:p>
        </w:tc>
        <w:tc>
          <w:tcPr>
            <w:tcW w:w="6442"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I. Perencanaan Kehutanan dan Tata Ruang </w:t>
            </w:r>
          </w:p>
        </w:tc>
        <w:tc>
          <w:tcPr>
            <w:tcW w:w="990"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435"/>
        </w:trPr>
        <w:tc>
          <w:tcPr>
            <w:tcW w:w="3212"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23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7432"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8D269B" w:rsidRPr="008D269B" w:rsidTr="008D269B">
        <w:trPr>
          <w:trHeight w:val="270"/>
        </w:trPr>
        <w:tc>
          <w:tcPr>
            <w:tcW w:w="3212"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442"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990"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93"/>
        <w:gridCol w:w="1432"/>
        <w:gridCol w:w="1176"/>
        <w:gridCol w:w="1939"/>
        <w:gridCol w:w="1106"/>
        <w:gridCol w:w="1843"/>
        <w:gridCol w:w="1382"/>
      </w:tblGrid>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6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BIa1</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Latar belakang Pendidikan formal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Secara umum dibagian perencanaan latar belakang pendidikannya masing-masing sudah cukup dan yang berlatar belakang pendidikan planologi juga sudah cukup.</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25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27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Bappeda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Secara keseluruhan kami masih sangat kekurangan mengenai tenaga yang mempunyai kemampuan yang baik. Untuk tenaga fungsional masih kurang banyak yang mempunyai kemampuan dalam perencanaan.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BIa2</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Lama waktu kerja sebagai perencana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Sangat variatif sekali, tapi rata-rata mereka sudah lama bekerja pada bagian perencanaan. Yang baru mereka banyaknya bekerja pada bagian teknis.</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5</w:t>
            </w:r>
          </w:p>
        </w:tc>
      </w:tr>
      <w:tr w:rsidR="008D269B" w:rsidRPr="008D269B" w:rsidTr="008D269B">
        <w:trPr>
          <w:trHeight w:val="25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nil"/>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single" w:sz="4" w:space="0" w:color="auto"/>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510"/>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Bappeda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Kalau untuk masa tugas mereka sudah cukup lama bekerja pada bagian perencanaan.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BIa3</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Sertifikat perencanaan wilayah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Setahu saya mereka sudah memiliki. untuk jumlah saya tidak tahu persis, tapi saya rasa sebagian besar sudah memiliki sertifikat.</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c>
          <w:tcPr>
            <w:tcW w:w="1106" w:type="dxa"/>
            <w:tcBorders>
              <w:top w:val="nil"/>
              <w:left w:val="nil"/>
              <w:bottom w:val="single" w:sz="4" w:space="0" w:color="auto"/>
              <w:right w:val="nil"/>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single" w:sz="4" w:space="0" w:color="auto"/>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020"/>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Bappeda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masih kurang tenaga pegawai yang mempunyai kemampuan yang baik. mereka belum pernah mengikuti training perencanaan wilayah.</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630"/>
        </w:trPr>
        <w:tc>
          <w:tcPr>
            <w:tcW w:w="3439"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8D269B" w:rsidRPr="008D269B" w:rsidTr="008D269B">
        <w:trPr>
          <w:trHeight w:val="34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Kepala SKPD, dan Kepala Bagian Perencanaan</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BIb1</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Latar belakang Pendidikan formal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Secara umum dibagian perencanaan latar belakang pendidikannya masing-masing sudah cukup. Umumnya sudah sarjana, kalaupun tidak sarjana, minimal Diploma.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nil"/>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single" w:sz="4" w:space="0" w:color="auto"/>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020"/>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Bappeda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cukup memadai, karena  rata-rata berpendidikan sarjana, dengan masa tugas yang  cukup.</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BIb2</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Lama waktu kerja sebagai perencana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sangat memadai</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5</w:t>
            </w:r>
          </w:p>
        </w:tc>
      </w:tr>
      <w:tr w:rsidR="008D269B" w:rsidRPr="008D269B" w:rsidTr="008D269B">
        <w:trPr>
          <w:trHeight w:val="25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nil"/>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single" w:sz="4" w:space="0" w:color="auto"/>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780"/>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Bappeda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Yang jelas ini bisa mempengaruhi kualitas kerja dari bagian perencana.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BIb3</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Sertifikat perencanaan wilayah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sebagian besar memiliki sertifikat perencanaan kehutanan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nil"/>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single" w:sz="4" w:space="0" w:color="auto"/>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73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Bappeda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belum pernah mengikuti perencanaan kehutanan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3439"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8D269B" w:rsidRPr="008D269B" w:rsidTr="008D269B">
        <w:trPr>
          <w:trHeight w:val="69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Usulan kegiatan dan DIPA pada tahun yang sama tiga tahun kebelakang,</w:t>
            </w:r>
            <w:r w:rsidRPr="008D269B">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lastRenderedPageBreak/>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BIc1</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000000" w:fill="000000"/>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DIPA yang kita terima hampir sama dengan apa yang kita usulkan. walaupun tidak spesifik untuk menyusun proses perencanaan tata ruang. (data DIPA  tidak didapat)</w:t>
            </w:r>
          </w:p>
        </w:tc>
        <w:tc>
          <w:tcPr>
            <w:tcW w:w="1382" w:type="dxa"/>
            <w:tcBorders>
              <w:top w:val="nil"/>
              <w:left w:val="nil"/>
              <w:bottom w:val="single" w:sz="4" w:space="0" w:color="auto"/>
              <w:right w:val="single" w:sz="4" w:space="0" w:color="auto"/>
            </w:tcBorders>
            <w:shd w:val="clear" w:color="000000" w:fill="000000"/>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76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Dinas Pertanian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ada</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000000" w:fill="000000"/>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Karena kita bukan instansi yang langsung menangani tata ruang, maka kita tidak mengalokasikan dana tersebut</w:t>
            </w:r>
          </w:p>
        </w:tc>
        <w:tc>
          <w:tcPr>
            <w:tcW w:w="1382" w:type="dxa"/>
            <w:tcBorders>
              <w:top w:val="nil"/>
              <w:left w:val="nil"/>
              <w:bottom w:val="single" w:sz="4" w:space="0" w:color="auto"/>
              <w:right w:val="single" w:sz="4" w:space="0" w:color="auto"/>
            </w:tcBorders>
            <w:shd w:val="clear" w:color="000000" w:fill="000000"/>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r>
      <w:tr w:rsidR="008D269B" w:rsidRPr="008D269B" w:rsidTr="008D269B">
        <w:trPr>
          <w:trHeight w:val="765"/>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BPN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ada</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000000" w:fill="000000"/>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Kita tidak punya dana tersebut. karena kita bukan instansi yang leading untuk perencanaan tata ruang.</w:t>
            </w:r>
          </w:p>
        </w:tc>
        <w:tc>
          <w:tcPr>
            <w:tcW w:w="1382" w:type="dxa"/>
            <w:tcBorders>
              <w:top w:val="nil"/>
              <w:left w:val="nil"/>
              <w:bottom w:val="single" w:sz="4" w:space="0" w:color="auto"/>
              <w:right w:val="single" w:sz="4" w:space="0" w:color="auto"/>
            </w:tcBorders>
            <w:shd w:val="clear" w:color="000000" w:fill="000000"/>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8D269B" w:rsidRPr="008D269B" w:rsidTr="008D269B">
        <w:trPr>
          <w:trHeight w:val="67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BId1</w:t>
            </w:r>
          </w:p>
        </w:tc>
        <w:tc>
          <w:tcPr>
            <w:tcW w:w="1293"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Pembagian tugas</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dalam SOP penyelesaian konflik belum cukup untuk menyelesaikan konflik perencanaan kehutanan. karena itu mesti terus diperbaiki.</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BId2</w:t>
            </w:r>
          </w:p>
        </w:tc>
        <w:tc>
          <w:tcPr>
            <w:tcW w:w="1293"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Struktur Organisasi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Untuk struktur masih kurang memadai</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BId3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Tahapan pelaksanaan penyelesaian konflik</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Tahapan penyelesaian dirasa masih harus direvisi, karena tidak memadai dalam penyelesaian konflik.</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r>
      <w:tr w:rsidR="008D269B" w:rsidRPr="008D269B" w:rsidTr="008D269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BId4</w:t>
            </w:r>
          </w:p>
        </w:tc>
        <w:tc>
          <w:tcPr>
            <w:tcW w:w="1293"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Keterlibatan masyarakat</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Kalau dari sisi pelibatan masyarakat cukup memadai</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BId5</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Mekanisme pengambilan keputusan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Mekanisme pengambilan keputusan masih kurang baik/memadai</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BId6</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Tata waktu penyelesaian konflik</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hal ini juga masih kurang memadai</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BId7</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Mekanisme penyampaian informasi proses dan hasil penyelesaian konflik</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Apa pendapat Anda mengenai Me-kanisme penyampaian informasi proses dan hasil penyelesaian konflik dalam SOP penyelesaian </w:t>
            </w:r>
            <w:r w:rsidRPr="008D269B">
              <w:rPr>
                <w:rFonts w:ascii="Times New Roman" w:eastAsia="Times New Roman" w:hAnsi="Times New Roman" w:cs="Times New Roman"/>
                <w:color w:val="000000"/>
                <w:sz w:val="20"/>
                <w:szCs w:val="20"/>
                <w:lang w:eastAsia="id-ID"/>
              </w:rPr>
              <w:lastRenderedPageBreak/>
              <w:t>konflik perencanaan kawasan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diperoleh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Sama juga untuk penyampaian informasi pun masih kurang memadai</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52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8D269B" w:rsidRPr="008D269B" w:rsidTr="008D269B">
        <w:trPr>
          <w:trHeight w:val="6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3649"/>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BIe1</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DPRD</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Secara prinsip semua anggota DPRD Kabupaten Ketapang memperjuangkan perencanaan wilayah berbasis kelestarian hutan, namun umumnya mereka masih terbatas pada wilayah DAPIL mereka saja. Kalau melihat yang sesuai dengan komisi mereka, paling hanya dikomisi B atau II saja. Tentunya ini menjadi tugas kita bersama, agar anggota DPRD yang konsen terhadap hutan dan lingkungan menjadi banyak.</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1275"/>
        </w:trPr>
        <w:tc>
          <w:tcPr>
            <w:tcW w:w="714"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432" w:type="dxa"/>
            <w:vMerge w:val="restart"/>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Menurut saya cukup banyak anggota DPRD yang concern terhadap soal perencanaan wilayah bagi masyarakat. Walaupun ini diwakili dikomisi II, diluar komisi itu mereka ada juga.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5</w:t>
            </w:r>
          </w:p>
        </w:tc>
      </w:tr>
      <w:tr w:rsidR="008D269B" w:rsidRPr="008D269B" w:rsidTr="008D269B">
        <w:trPr>
          <w:trHeight w:val="255"/>
        </w:trPr>
        <w:tc>
          <w:tcPr>
            <w:tcW w:w="714"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PU</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785"/>
        </w:trPr>
        <w:tc>
          <w:tcPr>
            <w:tcW w:w="714"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LSM</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Itu ada kewenangan di Komisi B. Hampir separuh dasri komisi B menurut saya punya komitmen itu. Diluar Itu ada beberapa juga yang sangat aktif memperjuangkan daerahnya. seperti Ibu Tini dari Hanura dan Ketua DPRD (Gusti Kamboja) juga sangat concern juga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020"/>
        </w:trPr>
        <w:tc>
          <w:tcPr>
            <w:tcW w:w="714"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432"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Jurnalis</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Ada beberapa yang cukup vokal dengan isu-isu soal kehutanan, mereka umumnya dari   wilayahnya masih banyak hutannya. Ada mungkin sekitar 7 orang</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Isu dalam PGA REDD+</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II. Pengaturan Hak  </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4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8D269B" w:rsidRPr="008D269B" w:rsidTr="008D269B">
        <w:trPr>
          <w:trHeight w:val="3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BIIa1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Kondisi realisasi rencana kebutuhan SDM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rencana kebutuhan SDM sudah terpenuhi?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Secara umum belum banyak posisi yang sesuai dengan kualifikasi pada bidang-bidang tertentu. Kalaupun ada jumlah tersebut baru sebagian yang sesuai dengan kualifikasi dan latar belakang.</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BIIa2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Memiliki pendidikan S1 di bidang terkait dengan kehutanan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Seperti yangsudah dijelaskan tadi jumlahnya belum cukup banyak dengan latar belakang pendidikannya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BIIa3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Ya, masa kerja mereka lebih dari 3 tahun namun belum banyak</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BIIa4</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Kurang memadai</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73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8D269B" w:rsidRPr="008D269B" w:rsidTr="008D269B">
        <w:trPr>
          <w:trHeight w:val="61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270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BIIb1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dana yang dialokasikan dalam DIPA untuk mengadmi-nistrasikan hak masyarakat dan bisnis  pada Unit yang mengad-ministrasikan hak masyarakat </w:t>
            </w:r>
            <w:r w:rsidRPr="008D269B">
              <w:rPr>
                <w:rFonts w:ascii="Times New Roman" w:eastAsia="Times New Roman" w:hAnsi="Times New Roman" w:cs="Times New Roman"/>
                <w:color w:val="000000"/>
                <w:sz w:val="20"/>
                <w:szCs w:val="20"/>
                <w:lang w:eastAsia="id-ID"/>
              </w:rPr>
              <w:lastRenderedPageBreak/>
              <w:t>dan bisnis di Kementerian/SKPD</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Bagaimana jumlah dana untuk komponen pengadministrasian hak masyarakat dan bisnis dialoka-sikan dalam DIPA?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Untuk hal ini, usulan yang diajukan Dinas sama dengan jumlah yang didapatkan. usulan kita hampir semuanya diakomodir.</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64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8D269B" w:rsidRPr="008D269B" w:rsidTr="008D269B">
        <w:trPr>
          <w:trHeight w:val="45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BIIc1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Komponen Mekanisme-1: Pembagian tugas &amp; tanggung jawab setiap pihak</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ada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sudah cukup baik. koordinasi diantaranya sudah terbangun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BIIc2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Komponen Mekanisme-2: Tahapan pelaksanaan kerjasama</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ada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Begitu juga dengan tahapan pelaksanaannya, sudah terbangun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BIIc3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Komponen Mekanisme-3: Mekanisme pengambilan keputusan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Mekanisme pengambilan keputus-an dalam kerjasama antara unit?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ada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Sama juga dengan mekanisme pengambilan keputusan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BIIc4</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Komponen Mekanisme-4: </w:t>
            </w:r>
            <w:r w:rsidRPr="008D269B">
              <w:rPr>
                <w:rFonts w:ascii="Times New Roman" w:eastAsia="Times New Roman" w:hAnsi="Times New Roman" w:cs="Times New Roman"/>
                <w:color w:val="000000"/>
                <w:sz w:val="20"/>
                <w:szCs w:val="20"/>
                <w:lang w:eastAsia="id-ID"/>
              </w:rPr>
              <w:br/>
              <w:t>Tata waktu pelaksanaan kerjasama</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Tata waktu pelaksanaan kerjasama dalam mekanisme kerjasama antara unit?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ada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Sama juga dengan tata cara waktu pelaksanaan kerjasama selalu dibicarakan terlebih dahulu</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BIIc5</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Komponen Mekanisme-5: Mekanisme pelaporan hasil pelaksanaan kerjasama</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Mekanisme pelaporan hasil pelak-sanaan kerjasama dalam kerjasa-ma antara unit?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Tidak ada dokumen </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Sama juga dengan yang tadi saya sebutkan tadi, kita selalu berkoordinasi</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9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8D269B" w:rsidRPr="008D269B" w:rsidTr="008D269B">
        <w:trPr>
          <w:trHeight w:val="37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BIId1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Kondisi realisasi rencana kebutuhan SDM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rencana kebutuhan SDM sudah terpenuhi?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Secara keseluruhan tentunya belum, tapi pelan-pelan kita akan terus penuhi kebutuhan itu. harapan saya itu bisa segera terpenuhi, karena tentunya akan berdampak pada kinerja.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BIId2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Memiliki pendidikan S1 di bidang terkait dengan kehutanan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cukup memadai,karena banyak dari latar belakang sarjana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BIId3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Memilki sertifikat sebagai mediator dalam penanganan</w:t>
            </w:r>
            <w:r w:rsidRPr="008D269B">
              <w:rPr>
                <w:rFonts w:ascii="Times New Roman" w:eastAsia="Times New Roman" w:hAnsi="Times New Roman" w:cs="Times New Roman"/>
                <w:color w:val="000000"/>
                <w:sz w:val="20"/>
                <w:szCs w:val="20"/>
                <w:lang w:eastAsia="id-ID"/>
              </w:rPr>
              <w:br/>
              <w:t>konflik hak atas hutan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Seperti yang saya katakan tadi mereka rata-rata sarjana. dan ada yang sudah mengikuti training mediasi konflik.</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BIId4</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Ada juga yang mengikuti pengalaman itu, tapi tidak semuanya.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73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lastRenderedPageBreak/>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BIIe1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spesifik soal itu, tapi yang jelas jumlah yang dialokasikan hampir sama dengan usulan yang kita sampaikan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Isu dalam PGA REDD+</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III. Pengorganisasian Hutan </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2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8D269B" w:rsidRPr="008D269B" w:rsidTr="008D269B">
        <w:trPr>
          <w:trHeight w:val="3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 Kepala TN, BKSDA, KPH Provinsi/Kabupaten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BIIIa1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BIIIa2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Memiliki pendidikan S1 di bidang kehutanan atau terkait</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BIIIa3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Pernah mendapatkan pelatihan menjadi fasilitator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BIIIa4</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70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8D269B" w:rsidRPr="008D269B" w:rsidTr="008D269B">
        <w:trPr>
          <w:trHeight w:val="3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 Kepala TN, BKSDA, KPH Provinsi/Kabupaten</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BIIIb1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3439"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Isu dalam PGA REDD+</w:t>
            </w: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1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4221"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a. Jumlah luas kawasan hutan yang dialokasikan untuk masyarakat(?)</w:t>
            </w: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BIVa1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luas kawasan hutan yang dialokasikan untuk masyarakat</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Berapa jumlah luas kawasan hutan yang dialokasikan untuk masyara-kat?</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diperoleh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Saya tidak hafal jumlah luasannya. Cuma yang jelas masih dibawah kondisi ideal. Saat ini ada beberapa inisiasi hutan desa yang di gagas beberapa kelompok masyarakat yang tinggak di kawasan hutan.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4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lastRenderedPageBreak/>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785"/>
        </w:trPr>
        <w:tc>
          <w:tcPr>
            <w:tcW w:w="714" w:type="dxa"/>
            <w:tcBorders>
              <w:top w:val="nil"/>
              <w:left w:val="single" w:sz="4" w:space="0" w:color="auto"/>
              <w:bottom w:val="single" w:sz="4" w:space="0" w:color="auto"/>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BIVb1</w:t>
            </w:r>
          </w:p>
        </w:tc>
        <w:tc>
          <w:tcPr>
            <w:tcW w:w="1293" w:type="dxa"/>
            <w:tcBorders>
              <w:top w:val="nil"/>
              <w:left w:val="single" w:sz="4" w:space="0" w:color="auto"/>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432"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Kalau bicara jumlah tentunya sangat tidak memadai</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8D269B" w:rsidRPr="008D269B" w:rsidTr="008D269B">
        <w:trPr>
          <w:trHeight w:val="63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BIVc1</w:t>
            </w:r>
          </w:p>
        </w:tc>
        <w:tc>
          <w:tcPr>
            <w:tcW w:w="1293"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saja dasar pertimbangan yang digunakan dalam pemberian izin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Kehutanan</w:t>
            </w:r>
          </w:p>
        </w:tc>
        <w:tc>
          <w:tcPr>
            <w:tcW w:w="1939" w:type="dxa"/>
            <w:tcBorders>
              <w:top w:val="nil"/>
              <w:left w:val="nil"/>
              <w:bottom w:val="single" w:sz="4" w:space="0" w:color="auto"/>
              <w:right w:val="single" w:sz="4" w:space="0" w:color="auto"/>
            </w:tcBorders>
            <w:shd w:val="clear" w:color="000000" w:fill="000000"/>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nil"/>
            </w:tcBorders>
            <w:shd w:val="clear" w:color="000000" w:fill="000000"/>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Yang jelas dasar pertimbangannya adalah sesuai dengan aturan yang berlaku. harus sesuai juga dengan peruntukannya. disamping itu optimalisasi pemanfaatan hutan menjadi penting.</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Isu dalam PGA REDD+</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V. Pengendalian dan Penegakan Hukum  </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Pimpinan KPH Provinsi/Kabupaten </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BVa1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Kinerja KPH dalam penerapan sistem pengendalian internal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BVa2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7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KPH</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Bagian kepegawaian Polda/Polres/Polresta</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BVb1</w:t>
            </w: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432"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76"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Polres</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Polisi yang memiliki kualifikasi dibidang kehutanan dan lingkungan jumlahnya sangat terbatas sekali. Karena sifatnya ini juga pidana umumnya ditangani juga oleh polisi dengan kemampuan yang umum juga. Namun ini akan lebih baik jika ditangani oleh anggota kami yang sudah mempunyai pengalaman kasus-kasus kehutanan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2</w:t>
            </w:r>
          </w:p>
        </w:tc>
      </w:tr>
      <w:tr w:rsidR="008D269B" w:rsidRPr="008D269B" w:rsidTr="008D269B">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BVb2</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Sertifikat/Bukti Keikutsertaan pelatihan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76"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Polres</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Ada anggota kami yang sudah mendapatkan pelatihan tentang kehutanan, namun jumlahnya sangat terbatas sekali. Akan lebih baik jika semua anggota kami di Reskrim mendapatkan pelatihan khusus ini. Karena ini kan sifatnya khusus tentang kehutanan, jadi pelaksana teknis langsung dari Kehutanan. Umumnya kami hanya yang diundang saja. Kalaupun ada dari internal itu, sifatnya </w:t>
            </w:r>
            <w:r w:rsidRPr="008D269B">
              <w:rPr>
                <w:rFonts w:ascii="Times New Roman" w:eastAsia="Times New Roman" w:hAnsi="Times New Roman" w:cs="Times New Roman"/>
                <w:color w:val="000000"/>
                <w:sz w:val="20"/>
                <w:szCs w:val="20"/>
                <w:lang w:eastAsia="id-ID"/>
              </w:rPr>
              <w:lastRenderedPageBreak/>
              <w:t>umum saja.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2</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BVb3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Pengalaman kerja dalam bidang yang terkait pidana kehutanan dan lingkungan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76"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Polres</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Seperti yang sudah saya sebutkan tadi, kalau untuk pengalaman anggota kami  terkait dengan pidana kehutanan banyak yang sudah berpengalaman. Namun secara kuantitas, kami mempunyai keterbatasan. karena ini terkait dengan lama bertugas anggota.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49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Bagian kepegawaian Kejati/Kejari</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BVc1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Kejari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Di Kantor kami ada beberapa jaksa yang sudah mendapatkan pendidikan khusus terkait dengan bidang kehutanan dan lingkungan, walaupun tidak semua tapi ini saya kira bisa mendukung kerja-kerja kita yang terkait dengan kasus-kasus kehutanan dan lingkungan.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BVc2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Sertifikat/Bukti Keikutsertaan pelatihan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Apakah jaksa yang bertugas dalam penegakan hukum bidang kehutanan dan lingkungan hidup memiliki Sertifikat atau Bukti </w:t>
            </w:r>
            <w:r w:rsidRPr="008D269B">
              <w:rPr>
                <w:rFonts w:ascii="Times New Roman" w:eastAsia="Times New Roman" w:hAnsi="Times New Roman" w:cs="Times New Roman"/>
                <w:color w:val="000000"/>
                <w:sz w:val="20"/>
                <w:szCs w:val="20"/>
                <w:lang w:eastAsia="id-ID"/>
              </w:rPr>
              <w:lastRenderedPageBreak/>
              <w:t>Keikutsertaan pelatihan?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Kejari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Untuk pelatihan tentang kehutanan dan lingkungan, Jaksa kami ada yang sudah mendapatkan pendidikan/ pelatihan khusus terkait dengan bidang ini. Pelatihan ini </w:t>
            </w:r>
            <w:r w:rsidRPr="008D269B">
              <w:rPr>
                <w:rFonts w:ascii="Times New Roman" w:eastAsia="Times New Roman" w:hAnsi="Times New Roman" w:cs="Times New Roman"/>
                <w:color w:val="000000"/>
                <w:sz w:val="20"/>
                <w:szCs w:val="20"/>
                <w:lang w:eastAsia="id-ID"/>
              </w:rPr>
              <w:lastRenderedPageBreak/>
              <w:t>dilakukan oleh dari internal Kejagung sendiri. Untuk bukti sertifikat yang jelas setelah kita melakukan pelatihan kita dapat. Cuma untuk bukti sertifikat ini nanti saya komunikasikan lagi kapan ini bisa diberikan, karena ini kan sudah masing-masing personal.</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4</w:t>
            </w:r>
          </w:p>
        </w:tc>
      </w:tr>
      <w:tr w:rsidR="008D269B" w:rsidRPr="008D269B" w:rsidTr="008D269B">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BVc3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Pengalaman kerja dalam bidang yang terkait pidana kehutanan dan lingkungan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Kejari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Saya kira terkait dengan kasus pidana kehutanan dan lingkungan tidak perlu jaksa yang mempunyai pengalaman khusus untuk menangani perkara kehutanan. namun akan lebih baik kalau perkara ini ditangani oleh Jaksa yang sudah berpengalaman. namun ini kan harus disesuaikan dengan perkara-perkara apa saja yang sedang ditangani oleh jaksa yang ada.</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45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4221"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Bagian kepegawaian Pengadilan Tinggi/Pengadilan Negeri</w:t>
            </w: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BVd1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Pengadilan Negeri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Disini tidak ada hakim yang khusus, semisalnya yang spesial menangani kasus kehutanan. Karena prinsipnya mereka harus mampu menangani semua isu yang ada. Tapi saya liat mereka cukup profesional lah dengan tanggung jawab mereka. Karena hakim yang ada saat ini masa tugasnya dibawah tiga tahun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BVd2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Sertifikat/Bukti Keikutsertaan pelatihan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Pengadilan Negeri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Sudah ada satu orang hakim yang pernah mengikuti pelatihan tentang lingkungan hidup/ kehutanan.</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BVd3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Pengalaman kerja dalam bidang yang terkait pidana kehutanan dan lingkungan</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Pengadilan Negeri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Tidak ada dokumen</w:t>
            </w:r>
          </w:p>
        </w:tc>
        <w:tc>
          <w:tcPr>
            <w:tcW w:w="1106" w:type="dxa"/>
            <w:tcBorders>
              <w:top w:val="nil"/>
              <w:left w:val="nil"/>
              <w:bottom w:val="single" w:sz="4" w:space="0" w:color="auto"/>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Seperti yang saya jelaskan tadi, memadai lah. Karena kita profesional</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34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4221" w:type="dxa"/>
            <w:gridSpan w:val="3"/>
            <w:tcBorders>
              <w:top w:val="nil"/>
              <w:left w:val="nil"/>
              <w:bottom w:val="nil"/>
              <w:right w:val="nil"/>
            </w:tcBorders>
            <w:shd w:val="clear" w:color="auto" w:fill="auto"/>
            <w:noWrap/>
            <w:hideMark/>
          </w:tcPr>
          <w:p w:rsidR="008D269B" w:rsidRPr="008D269B" w:rsidRDefault="008D269B" w:rsidP="008D269B">
            <w:pPr>
              <w:spacing w:after="24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Unit reskrim Polda, Unit reskrim Polres/Polresta</w:t>
            </w: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80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BVe1</w:t>
            </w:r>
          </w:p>
        </w:tc>
        <w:tc>
          <w:tcPr>
            <w:tcW w:w="1293"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432" w:type="dxa"/>
            <w:vMerge w:val="restart"/>
            <w:tcBorders>
              <w:top w:val="nil"/>
              <w:left w:val="single" w:sz="4" w:space="0" w:color="auto"/>
              <w:bottom w:val="single" w:sz="4" w:space="0" w:color="000000"/>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Kejari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nil"/>
              <w:bottom w:val="double" w:sz="6" w:space="0" w:color="auto"/>
              <w:right w:val="double" w:sz="6"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perkara yang terkait dengan kehutanan yang diserahkan kepolisian kepada Kejari lumayan juga, namum umumnya terkait dengan surat kepemilikan kayu yang tidak ada/ komplit.  Kepolisian selalu berkoordinasi dengan kami, begitu juga sebaliknya. </w:t>
            </w:r>
          </w:p>
        </w:tc>
        <w:tc>
          <w:tcPr>
            <w:tcW w:w="1382"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1290"/>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Polres</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nil"/>
              <w:left w:val="nil"/>
              <w:bottom w:val="nil"/>
              <w:right w:val="double" w:sz="6"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Terkait dengan jumlah perkara yang diproses di Polres cukup banyak juga. Saya kira yang terbanyak kasus dokumen kepemilikan kayu yang tidak lengkap bahkan tidak ada surat kepemilikannya.</w:t>
            </w:r>
          </w:p>
        </w:tc>
        <w:tc>
          <w:tcPr>
            <w:tcW w:w="1382"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3</w:t>
            </w:r>
          </w:p>
        </w:tc>
      </w:tr>
      <w:tr w:rsidR="008D269B" w:rsidRPr="008D269B" w:rsidTr="008D269B">
        <w:trPr>
          <w:trHeight w:val="1140"/>
        </w:trPr>
        <w:tc>
          <w:tcPr>
            <w:tcW w:w="714" w:type="dxa"/>
            <w:vMerge/>
            <w:tcBorders>
              <w:top w:val="nil"/>
              <w:left w:val="single" w:sz="4" w:space="0" w:color="auto"/>
              <w:bottom w:val="single" w:sz="4" w:space="0" w:color="auto"/>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vMerge/>
            <w:tcBorders>
              <w:top w:val="nil"/>
              <w:left w:val="single" w:sz="4" w:space="0" w:color="auto"/>
              <w:bottom w:val="single" w:sz="4" w:space="0" w:color="000000"/>
              <w:right w:val="single" w:sz="4" w:space="0" w:color="auto"/>
            </w:tcBorders>
            <w:vAlign w:val="center"/>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Pengadilan Negeri</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Dokumen tidak diperoleh</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1</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Kalau konteks putusan pengadilan sampai putusnya vonis, saya kira memadai.</w:t>
            </w:r>
          </w:p>
        </w:tc>
        <w:tc>
          <w:tcPr>
            <w:tcW w:w="1382" w:type="dxa"/>
            <w:tcBorders>
              <w:top w:val="nil"/>
              <w:left w:val="nil"/>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4</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Isu dalam PGA REDD+</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VI. Infrastruktur REDD+</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34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a.  Keberadaan lembaga REDD+ di Nasional dan Sub nasional</w:t>
            </w:r>
          </w:p>
        </w:tc>
      </w:tr>
      <w:tr w:rsidR="008D269B" w:rsidRPr="008D269B" w:rsidTr="008D269B">
        <w:trPr>
          <w:trHeight w:val="37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Nasional: UKP4 (Satgas REDD+)</w:t>
            </w:r>
            <w:r w:rsidRPr="008D269B">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BVIa1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Ada atau tidak adanya lembaga REDD+ di Nasional dan Sub 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terdapat lembaga REDD+ di Nasional dan Sub nasional?</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BVIa2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dukungan peraturan ter-hadap lembaga REDD+ sudah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8D269B" w:rsidRPr="008D269B" w:rsidTr="008D269B">
        <w:trPr>
          <w:trHeight w:val="58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Nasional: UKP4 (Satgas REDD+)</w:t>
            </w:r>
            <w:r w:rsidRPr="008D269B">
              <w:rPr>
                <w:rFonts w:ascii="Times New Roman" w:eastAsia="Times New Roman" w:hAnsi="Times New Roman" w:cs="Times New Roman"/>
                <w:b/>
                <w:bCs/>
                <w:color w:val="000000"/>
                <w:sz w:val="20"/>
                <w:szCs w:val="20"/>
                <w:lang w:eastAsia="id-ID"/>
              </w:rPr>
              <w:br/>
              <w:t xml:space="preserve">  Sub nasional: Dinas Kehutanan dan Lingkungan Hidup</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BVIb1</w:t>
            </w: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Ada atau tidak adanya lembaga MRV di Nasional dan Sub nasional</w:t>
            </w:r>
          </w:p>
        </w:tc>
        <w:tc>
          <w:tcPr>
            <w:tcW w:w="1432" w:type="dxa"/>
            <w:tcBorders>
              <w:top w:val="nil"/>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terdapat lembaga MRV di Nasional dan Sub nasional?</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BVIb2</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dukungan peraturan ter-hadap lembaga MRV sudah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45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4221" w:type="dxa"/>
            <w:gridSpan w:val="3"/>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c. Keberadaan lembaga finansial di Nasional dan Sub nasional</w:t>
            </w: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37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Nasional: UKP4 (Satgas REDD+)</w:t>
            </w:r>
            <w:r w:rsidRPr="008D269B">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BVIc1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Ada atau tidak adanya lembaga finansial di tingkat Nasional dan Sub 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terdapat lembaga finansial di tingkat Nasional dan Sub nasional?</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BVIc2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dukungan peraturan ter-hadap lembaga finansial sudah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45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28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Ketua Satgas REDD+/Pokja REDD+</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BVId1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BVId2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BVId3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5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lastRenderedPageBreak/>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8D269B">
              <w:rPr>
                <w:rFonts w:ascii="Times New Roman" w:eastAsia="Times New Roman" w:hAnsi="Times New Roman" w:cs="Times New Roman"/>
                <w:b/>
                <w:bCs/>
                <w:color w:val="000000"/>
                <w:sz w:val="20"/>
                <w:szCs w:val="20"/>
                <w:lang w:eastAsia="id-ID"/>
              </w:rPr>
              <w:br/>
              <w:t xml:space="preserve"> (Strategi, monitoring, lembaga)</w:t>
            </w:r>
          </w:p>
        </w:tc>
      </w:tr>
      <w:tr w:rsidR="008D269B" w:rsidRPr="008D269B" w:rsidTr="008D269B">
        <w:trPr>
          <w:trHeight w:val="36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Nasional: Ketua Satgas REDD+</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BVIe1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45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6064" w:type="dxa"/>
            <w:gridSpan w:val="4"/>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70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single" w:sz="4" w:space="0" w:color="auto"/>
              <w:right w:val="nil"/>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:Nasional: UKP4 (Satgas REDD+)</w:t>
            </w:r>
            <w:r w:rsidRPr="008D269B">
              <w:rPr>
                <w:rFonts w:ascii="Times New Roman" w:eastAsia="Times New Roman" w:hAnsi="Times New Roman" w:cs="Times New Roman"/>
                <w:b/>
                <w:bCs/>
                <w:color w:val="000000"/>
                <w:sz w:val="20"/>
                <w:szCs w:val="20"/>
                <w:lang w:eastAsia="id-ID"/>
              </w:rPr>
              <w:br/>
              <w:t xml:space="preserve">  Sub nasional: Dinas Kehutanan dan Lingkungan Hidup</w:t>
            </w: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BVIf1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Ada atau tidak adanya kerangka pengaman di tingkat Nasional dan Sub 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terdapat kerangka pengaman di tingkat Nasional dan Sub nasional?</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BVIf2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dukungan peraturan ter-hadap kerangka pengaman sudah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255"/>
        </w:trPr>
        <w:tc>
          <w:tcPr>
            <w:tcW w:w="714"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293"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432"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939"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p>
        </w:tc>
      </w:tr>
      <w:tr w:rsidR="008D269B" w:rsidRPr="008D269B" w:rsidTr="008D269B">
        <w:trPr>
          <w:trHeight w:val="690"/>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Indikator</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7446" w:type="dxa"/>
            <w:gridSpan w:val="5"/>
            <w:tcBorders>
              <w:top w:val="nil"/>
              <w:left w:val="nil"/>
              <w:bottom w:val="nil"/>
              <w:right w:val="nil"/>
            </w:tcBorders>
            <w:shd w:val="clear" w:color="auto" w:fill="auto"/>
            <w:hideMark/>
          </w:tcPr>
          <w:p w:rsidR="008D269B" w:rsidRPr="008D269B" w:rsidRDefault="008D269B" w:rsidP="008D269B">
            <w:pPr>
              <w:spacing w:after="24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8D269B">
              <w:rPr>
                <w:rFonts w:ascii="Times New Roman" w:eastAsia="Times New Roman" w:hAnsi="Times New Roman" w:cs="Times New Roman"/>
                <w:b/>
                <w:bCs/>
                <w:color w:val="000000"/>
                <w:sz w:val="20"/>
                <w:szCs w:val="20"/>
                <w:lang w:eastAsia="id-ID"/>
              </w:rPr>
              <w:br/>
              <w:t xml:space="preserve">  akibat pembagian hasil REDD+</w:t>
            </w:r>
          </w:p>
        </w:tc>
      </w:tr>
      <w:tr w:rsidR="008D269B" w:rsidRPr="008D269B" w:rsidTr="008D269B">
        <w:trPr>
          <w:trHeight w:val="255"/>
        </w:trPr>
        <w:tc>
          <w:tcPr>
            <w:tcW w:w="2007"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Wawancara - Sumber informasi</w:t>
            </w:r>
          </w:p>
        </w:tc>
        <w:tc>
          <w:tcPr>
            <w:tcW w:w="1432"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3115" w:type="dxa"/>
            <w:gridSpan w:val="2"/>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 Ketua Satgas REDD+/Pokja REDD+</w:t>
            </w:r>
          </w:p>
        </w:tc>
        <w:tc>
          <w:tcPr>
            <w:tcW w:w="1106"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8D269B" w:rsidRPr="008D269B" w:rsidRDefault="008D269B" w:rsidP="008D269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p>
        </w:tc>
      </w:tr>
      <w:tr w:rsidR="008D269B" w:rsidRPr="008D269B" w:rsidTr="008D269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Kode</w:t>
            </w:r>
          </w:p>
        </w:tc>
        <w:tc>
          <w:tcPr>
            <w:tcW w:w="129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Panduan Analisis Dokumen</w:t>
            </w:r>
          </w:p>
        </w:tc>
        <w:tc>
          <w:tcPr>
            <w:tcW w:w="143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Sumber Data</w:t>
            </w:r>
          </w:p>
        </w:tc>
        <w:tc>
          <w:tcPr>
            <w:tcW w:w="1939"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Dokumen</w:t>
            </w:r>
          </w:p>
        </w:tc>
        <w:tc>
          <w:tcPr>
            <w:tcW w:w="1106"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jc w:val="center"/>
              <w:rPr>
                <w:rFonts w:ascii="Times New Roman" w:eastAsia="Times New Roman" w:hAnsi="Times New Roman" w:cs="Times New Roman"/>
                <w:b/>
                <w:bCs/>
                <w:color w:val="000000"/>
                <w:sz w:val="20"/>
                <w:szCs w:val="20"/>
                <w:lang w:eastAsia="id-ID"/>
              </w:rPr>
            </w:pPr>
            <w:r w:rsidRPr="008D269B">
              <w:rPr>
                <w:rFonts w:ascii="Times New Roman" w:eastAsia="Times New Roman" w:hAnsi="Times New Roman" w:cs="Times New Roman"/>
                <w:b/>
                <w:bCs/>
                <w:color w:val="000000"/>
                <w:sz w:val="20"/>
                <w:szCs w:val="20"/>
                <w:lang w:eastAsia="id-ID"/>
              </w:rPr>
              <w:t>Kategori Data Wawancara</w:t>
            </w:r>
          </w:p>
        </w:tc>
      </w:tr>
      <w:tr w:rsidR="008D269B" w:rsidRPr="008D269B" w:rsidTr="008D269B">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BVIg1</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Jumlah SDM yang memadai dan memiliki kualifikasi dalam mediasi konflik pembagian </w:t>
            </w:r>
            <w:r w:rsidRPr="008D269B">
              <w:rPr>
                <w:rFonts w:ascii="Times New Roman" w:eastAsia="Times New Roman" w:hAnsi="Times New Roman" w:cs="Times New Roman"/>
                <w:color w:val="000000"/>
                <w:sz w:val="20"/>
                <w:szCs w:val="20"/>
                <w:lang w:eastAsia="id-ID"/>
              </w:rPr>
              <w:lastRenderedPageBreak/>
              <w:t>hasil REDD+ di tingkat Nasional dan Sub-nasional</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 xml:space="preserve">Apakah SDM yang memiliki kuali-fikasi memadai dalam mediasi konflik pembagian hasil REDD+ di tingkat </w:t>
            </w:r>
            <w:r w:rsidRPr="008D269B">
              <w:rPr>
                <w:rFonts w:ascii="Times New Roman" w:eastAsia="Times New Roman" w:hAnsi="Times New Roman" w:cs="Times New Roman"/>
                <w:color w:val="000000"/>
                <w:sz w:val="20"/>
                <w:szCs w:val="20"/>
                <w:lang w:eastAsia="id-ID"/>
              </w:rPr>
              <w:lastRenderedPageBreak/>
              <w:t>Nasional dan Sub-nasional jumlahnya sudah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lastRenderedPageBreak/>
              <w:t>BVIg2</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Sertifikat/Bukti Keikutsertaan pelatihan mediasi konflik pembagian hasil REDD+</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r w:rsidR="008D269B" w:rsidRPr="008D269B" w:rsidTr="008D269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BVIg3</w:t>
            </w:r>
          </w:p>
        </w:tc>
        <w:tc>
          <w:tcPr>
            <w:tcW w:w="1293"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 xml:space="preserve">Pengalaman kerja dalam medi-asi konflik pembagian hasil REDD+ </w:t>
            </w:r>
          </w:p>
        </w:tc>
        <w:tc>
          <w:tcPr>
            <w:tcW w:w="1432" w:type="dxa"/>
            <w:tcBorders>
              <w:top w:val="nil"/>
              <w:left w:val="nil"/>
              <w:bottom w:val="single" w:sz="4" w:space="0" w:color="auto"/>
              <w:right w:val="single" w:sz="4" w:space="0" w:color="auto"/>
            </w:tcBorders>
            <w:shd w:val="clear" w:color="auto" w:fill="auto"/>
            <w:hideMark/>
          </w:tcPr>
          <w:p w:rsidR="008D269B" w:rsidRPr="008D269B" w:rsidRDefault="008D269B" w:rsidP="008D269B">
            <w:pPr>
              <w:spacing w:after="0" w:line="240" w:lineRule="auto"/>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76" w:type="dxa"/>
            <w:tcBorders>
              <w:top w:val="nil"/>
              <w:left w:val="nil"/>
              <w:bottom w:val="single" w:sz="4" w:space="0" w:color="auto"/>
              <w:right w:val="single" w:sz="4" w:space="0" w:color="auto"/>
            </w:tcBorders>
            <w:shd w:val="clear" w:color="000000" w:fill="F2DDDC"/>
            <w:noWrap/>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Satgas REDD+</w:t>
            </w:r>
          </w:p>
        </w:tc>
        <w:tc>
          <w:tcPr>
            <w:tcW w:w="1939"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106"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843"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c>
          <w:tcPr>
            <w:tcW w:w="1382" w:type="dxa"/>
            <w:tcBorders>
              <w:top w:val="nil"/>
              <w:left w:val="nil"/>
              <w:bottom w:val="single" w:sz="4" w:space="0" w:color="auto"/>
              <w:right w:val="single" w:sz="4" w:space="0" w:color="auto"/>
            </w:tcBorders>
            <w:shd w:val="clear" w:color="000000" w:fill="F2DDDC"/>
            <w:hideMark/>
          </w:tcPr>
          <w:p w:rsidR="008D269B" w:rsidRPr="008D269B" w:rsidRDefault="008D269B" w:rsidP="008D269B">
            <w:pPr>
              <w:spacing w:after="0" w:line="240" w:lineRule="auto"/>
              <w:jc w:val="center"/>
              <w:rPr>
                <w:rFonts w:ascii="Times New Roman" w:eastAsia="Times New Roman" w:hAnsi="Times New Roman" w:cs="Times New Roman"/>
                <w:color w:val="000000"/>
                <w:sz w:val="20"/>
                <w:szCs w:val="20"/>
                <w:lang w:eastAsia="id-ID"/>
              </w:rPr>
            </w:pPr>
            <w:r w:rsidRPr="008D269B">
              <w:rPr>
                <w:rFonts w:ascii="Times New Roman" w:eastAsia="Times New Roman" w:hAnsi="Times New Roman" w:cs="Times New Roman"/>
                <w:color w:val="000000"/>
                <w:sz w:val="20"/>
                <w:szCs w:val="20"/>
                <w:lang w:eastAsia="id-ID"/>
              </w:rPr>
              <w:t>-</w:t>
            </w:r>
          </w:p>
        </w:tc>
      </w:tr>
    </w:tbl>
    <w:p w:rsidR="008D269B" w:rsidRDefault="008D269B"/>
    <w:sectPr w:rsidR="008D269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8D269B"/>
    <w:rsid w:val="009F3E98"/>
    <w:rsid w:val="00A91768"/>
    <w:rsid w:val="00BB5203"/>
    <w:rsid w:val="00D74DB4"/>
    <w:rsid w:val="00EB4A0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773432299">
      <w:bodyDiv w:val="1"/>
      <w:marLeft w:val="0"/>
      <w:marRight w:val="0"/>
      <w:marTop w:val="0"/>
      <w:marBottom w:val="0"/>
      <w:divBdr>
        <w:top w:val="none" w:sz="0" w:space="0" w:color="auto"/>
        <w:left w:val="none" w:sz="0" w:space="0" w:color="auto"/>
        <w:bottom w:val="none" w:sz="0" w:space="0" w:color="auto"/>
        <w:right w:val="none" w:sz="0" w:space="0" w:color="auto"/>
      </w:divBdr>
    </w:div>
    <w:div w:id="18615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20</Pages>
  <Words>5017</Words>
  <Characters>28597</Characters>
  <Application>Microsoft Office Word</Application>
  <DocSecurity>0</DocSecurity>
  <Lines>238</Lines>
  <Paragraphs>67</Paragraphs>
  <ScaleCrop>false</ScaleCrop>
  <Company/>
  <LinksUpToDate>false</LinksUpToDate>
  <CharactersWithSpaces>33547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2012-10-16T06:04:00Z</dcterms:modified>
</cp:coreProperties>
</file>